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sz w:val="36"/>
          <w:szCs w:val="36"/>
        </w:rPr>
        <w:t>关于成立中塘镇食品安全委员会及其办公室的通知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ascii="仿宋_gb2312" w:hAnsi="仿宋_gb2312" w:eastAsia="仿宋_gb2312" w:cs="仿宋_gb2312"/>
          <w:sz w:val="31"/>
          <w:szCs w:val="31"/>
        </w:rPr>
        <w:t>各村委会、机关各科室：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按照市食安办《关于在机构改革期间做好区县食安办职能交接等有关工作的通知》（津食安办[2015]9号）文件要求，为进一步完善我镇食品安全监管体系，结合我镇实际，经镇党委、政府研究决定，成立中塘镇食品安全委员会及其办公室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主  任：窦汝春  中塘镇党委副书记、镇长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副主任：刘海英  中塘镇党委委员、副镇长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       鲍海涛  中塘镇党委委员、副镇长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成  员：徐学成  中塘镇安监办主任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       彭忠清  中塘镇计划生育办公室主任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       魏  强  中塘镇安监办副主任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       赵顺友  中塘镇计划生育办公室科员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委员会下设办公室，办公室主任由魏强同志兼任。办公室综合协调工作人员赵顺友。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仿宋_gb2312" w:eastAsia="仿宋_gb2312" w:cs="仿宋_gb2312"/>
          <w:sz w:val="31"/>
          <w:szCs w:val="31"/>
        </w:rPr>
        <w:t>特此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AFFEA09D"/>
    <w:rsid w:val="BF7D482C"/>
    <w:rsid w:val="DFFFE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2021-09-17T16:59:32Z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